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A3" w:rsidRPr="00CD2E8D" w:rsidRDefault="009E44A3" w:rsidP="00527A9D">
      <w:pPr>
        <w:pStyle w:val="Subheading"/>
        <w:spacing w:line="240" w:lineRule="auto"/>
        <w:ind w:left="0" w:firstLine="0"/>
        <w:rPr>
          <w:rFonts w:ascii="Calibri" w:hAnsi="Calibri" w:cs="Calibri"/>
          <w:sz w:val="22"/>
          <w:szCs w:val="22"/>
        </w:rPr>
      </w:pPr>
      <w:r w:rsidRPr="00CD2E8D">
        <w:rPr>
          <w:rFonts w:ascii="Calibri" w:hAnsi="Calibri" w:cs="Calibri"/>
          <w:sz w:val="22"/>
          <w:szCs w:val="22"/>
        </w:rPr>
        <w:t>Government Industry Agreement</w:t>
      </w:r>
      <w:r w:rsidR="007F4D76" w:rsidRPr="00CD2E8D">
        <w:rPr>
          <w:rFonts w:ascii="Calibri" w:hAnsi="Calibri" w:cs="Calibri"/>
          <w:sz w:val="22"/>
          <w:szCs w:val="22"/>
        </w:rPr>
        <w:t>s</w:t>
      </w:r>
      <w:r w:rsidRPr="00CD2E8D">
        <w:rPr>
          <w:rFonts w:ascii="Calibri" w:hAnsi="Calibri" w:cs="Calibri"/>
          <w:sz w:val="22"/>
          <w:szCs w:val="22"/>
        </w:rPr>
        <w:t xml:space="preserve"> (GIA) </w:t>
      </w:r>
      <w:r w:rsidR="007F4D76" w:rsidRPr="00CD2E8D">
        <w:rPr>
          <w:rFonts w:ascii="Calibri" w:hAnsi="Calibri" w:cs="Calibri"/>
          <w:sz w:val="22"/>
          <w:szCs w:val="22"/>
        </w:rPr>
        <w:t xml:space="preserve">Deed </w:t>
      </w:r>
      <w:r w:rsidRPr="00CD2E8D">
        <w:rPr>
          <w:rFonts w:ascii="Calibri" w:hAnsi="Calibri" w:cs="Calibri"/>
          <w:sz w:val="22"/>
          <w:szCs w:val="22"/>
        </w:rPr>
        <w:t>– Frequently Asked Questions</w:t>
      </w:r>
    </w:p>
    <w:p w:rsidR="00527A9D" w:rsidRPr="00CD2E8D" w:rsidRDefault="00527A9D" w:rsidP="00527A9D">
      <w:pPr>
        <w:pStyle w:val="Subheading"/>
        <w:spacing w:line="240" w:lineRule="auto"/>
        <w:ind w:left="0" w:firstLine="0"/>
        <w:rPr>
          <w:rFonts w:ascii="Calibri" w:hAnsi="Calibri" w:cs="Calibri"/>
          <w:sz w:val="22"/>
          <w:szCs w:val="22"/>
        </w:rPr>
      </w:pPr>
    </w:p>
    <w:p w:rsidR="00527A9D" w:rsidRPr="00CD2E8D" w:rsidRDefault="00527A9D" w:rsidP="00527A9D">
      <w:pPr>
        <w:pStyle w:val="ListParagraph"/>
        <w:numPr>
          <w:ilvl w:val="0"/>
          <w:numId w:val="5"/>
        </w:numPr>
        <w:ind w:left="567" w:hanging="567"/>
        <w:rPr>
          <w:b/>
        </w:rPr>
      </w:pPr>
      <w:r w:rsidRPr="00CD2E8D">
        <w:rPr>
          <w:b/>
        </w:rPr>
        <w:t>What will TNZ</w:t>
      </w:r>
      <w:r w:rsidR="007F4D76" w:rsidRPr="00CD2E8D">
        <w:rPr>
          <w:b/>
        </w:rPr>
        <w:t>’s</w:t>
      </w:r>
      <w:r w:rsidRPr="00CD2E8D">
        <w:rPr>
          <w:b/>
        </w:rPr>
        <w:t xml:space="preserve"> role be in GIA?</w:t>
      </w:r>
    </w:p>
    <w:p w:rsidR="00527A9D" w:rsidRPr="00CD2E8D" w:rsidRDefault="007F4D76" w:rsidP="00527A9D">
      <w:pPr>
        <w:ind w:left="567"/>
      </w:pPr>
      <w:r w:rsidRPr="00CD2E8D">
        <w:t>TomatoesNZ (</w:t>
      </w:r>
      <w:r w:rsidR="00527A9D" w:rsidRPr="00CD2E8D">
        <w:t>TNZ</w:t>
      </w:r>
      <w:r w:rsidRPr="00CD2E8D">
        <w:t>)</w:t>
      </w:r>
      <w:r w:rsidR="00527A9D" w:rsidRPr="00CD2E8D">
        <w:t xml:space="preserve"> will be the signatory to the GIA Deed and any Operational Agreements under the Deed on behalf of fresh tomato growers. TNZ will engage with </w:t>
      </w:r>
      <w:r w:rsidRPr="00CD2E8D">
        <w:t>the Ministry for Primary Industries (</w:t>
      </w:r>
      <w:r w:rsidR="00527A9D" w:rsidRPr="00CD2E8D">
        <w:t>MPI</w:t>
      </w:r>
      <w:r w:rsidRPr="00CD2E8D">
        <w:t>)</w:t>
      </w:r>
      <w:r w:rsidR="00527A9D" w:rsidRPr="00CD2E8D">
        <w:t xml:space="preserve"> and other </w:t>
      </w:r>
      <w:r w:rsidR="00C00636" w:rsidRPr="00CD2E8D">
        <w:t xml:space="preserve">industry groups </w:t>
      </w:r>
      <w:r w:rsidR="00527A9D" w:rsidRPr="00CD2E8D">
        <w:t>in developing Operational Agreements including readiness and response plans for pests that affect fresh tomato growers. TNZ will consult with growers before sig</w:t>
      </w:r>
      <w:r w:rsidR="00AF676E" w:rsidRPr="00CD2E8D">
        <w:t>ning any Operational Agreements</w:t>
      </w:r>
      <w:r w:rsidR="00527A9D" w:rsidRPr="00CD2E8D">
        <w:t xml:space="preserve">, including on the expected costs. </w:t>
      </w:r>
    </w:p>
    <w:p w:rsidR="00527A9D" w:rsidRPr="00CD2E8D" w:rsidRDefault="00527A9D" w:rsidP="00527A9D">
      <w:pPr>
        <w:ind w:left="567"/>
      </w:pPr>
    </w:p>
    <w:p w:rsidR="00527A9D" w:rsidRPr="00CD2E8D" w:rsidRDefault="00527A9D" w:rsidP="00527A9D">
      <w:pPr>
        <w:pStyle w:val="ListParagraph"/>
        <w:numPr>
          <w:ilvl w:val="0"/>
          <w:numId w:val="5"/>
        </w:numPr>
        <w:ind w:left="567" w:hanging="567"/>
        <w:rPr>
          <w:b/>
        </w:rPr>
      </w:pPr>
      <w:r w:rsidRPr="00CD2E8D">
        <w:rPr>
          <w:b/>
        </w:rPr>
        <w:t xml:space="preserve">What will </w:t>
      </w:r>
      <w:r w:rsidR="007F4D76" w:rsidRPr="00CD2E8D">
        <w:rPr>
          <w:b/>
        </w:rPr>
        <w:t>TNZ</w:t>
      </w:r>
      <w:r w:rsidRPr="00CD2E8D">
        <w:rPr>
          <w:b/>
        </w:rPr>
        <w:t xml:space="preserve"> </w:t>
      </w:r>
      <w:proofErr w:type="gramStart"/>
      <w:r w:rsidRPr="00CD2E8D">
        <w:rPr>
          <w:b/>
        </w:rPr>
        <w:t>be</w:t>
      </w:r>
      <w:proofErr w:type="gramEnd"/>
      <w:r w:rsidRPr="00CD2E8D">
        <w:rPr>
          <w:b/>
        </w:rPr>
        <w:t xml:space="preserve"> required to do under GIA?</w:t>
      </w:r>
    </w:p>
    <w:p w:rsidR="003243D8" w:rsidRPr="00CD2E8D" w:rsidRDefault="005948CA" w:rsidP="003243D8">
      <w:pPr>
        <w:ind w:left="567"/>
      </w:pPr>
      <w:r w:rsidRPr="00CD2E8D">
        <w:t>There are obligations</w:t>
      </w:r>
      <w:r w:rsidR="00527A9D" w:rsidRPr="00CD2E8D">
        <w:t xml:space="preserve"> </w:t>
      </w:r>
      <w:r w:rsidR="0091780D" w:rsidRPr="00CD2E8D">
        <w:t>for</w:t>
      </w:r>
      <w:r w:rsidR="007F4D76" w:rsidRPr="00CD2E8D">
        <w:t xml:space="preserve"> signatories</w:t>
      </w:r>
      <w:r w:rsidR="00527A9D" w:rsidRPr="00CD2E8D">
        <w:t xml:space="preserve"> </w:t>
      </w:r>
      <w:r w:rsidR="0091780D" w:rsidRPr="00CD2E8D">
        <w:t xml:space="preserve">to </w:t>
      </w:r>
      <w:r w:rsidR="00527A9D" w:rsidRPr="00CD2E8D">
        <w:t xml:space="preserve">meet minimum commitments </w:t>
      </w:r>
      <w:r w:rsidR="007E1B6C" w:rsidRPr="00CD2E8D">
        <w:t>for readiness and response</w:t>
      </w:r>
      <w:r w:rsidR="009E44A3" w:rsidRPr="00CD2E8D">
        <w:t>.  These activities include</w:t>
      </w:r>
      <w:r w:rsidR="00527A9D" w:rsidRPr="00CD2E8D">
        <w:t>;</w:t>
      </w:r>
    </w:p>
    <w:p w:rsidR="003243D8" w:rsidRPr="00CD2E8D" w:rsidRDefault="003243D8" w:rsidP="00161A93">
      <w:pPr>
        <w:pStyle w:val="ListParagraph"/>
        <w:numPr>
          <w:ilvl w:val="0"/>
          <w:numId w:val="7"/>
        </w:numPr>
        <w:autoSpaceDE w:val="0"/>
        <w:autoSpaceDN w:val="0"/>
        <w:adjustRightInd w:val="0"/>
        <w:spacing w:after="136"/>
        <w:rPr>
          <w:rFonts w:cs="Trebuchet MS"/>
          <w:color w:val="000000"/>
        </w:rPr>
      </w:pPr>
      <w:r w:rsidRPr="00CD2E8D">
        <w:rPr>
          <w:rFonts w:cs="Trebuchet MS"/>
          <w:color w:val="000000"/>
        </w:rPr>
        <w:t>Maintaining access to technical biosecurity capacity and capability</w:t>
      </w:r>
      <w:r w:rsidR="00161A93" w:rsidRPr="00CD2E8D">
        <w:rPr>
          <w:rFonts w:cs="Trebuchet MS"/>
          <w:color w:val="000000"/>
        </w:rPr>
        <w:t xml:space="preserve">, including securing appropriately skilled and committed people to engage in readiness and response activities, including technical and operational experts. </w:t>
      </w:r>
    </w:p>
    <w:p w:rsidR="003243D8" w:rsidRPr="00CD2E8D" w:rsidRDefault="003243D8" w:rsidP="003243D8">
      <w:pPr>
        <w:pStyle w:val="ListParagraph"/>
        <w:numPr>
          <w:ilvl w:val="0"/>
          <w:numId w:val="6"/>
        </w:numPr>
        <w:autoSpaceDE w:val="0"/>
        <w:autoSpaceDN w:val="0"/>
        <w:adjustRightInd w:val="0"/>
        <w:spacing w:after="141"/>
        <w:rPr>
          <w:rFonts w:cs="Trebuchet MS"/>
          <w:color w:val="000000"/>
        </w:rPr>
      </w:pPr>
      <w:r w:rsidRPr="00CD2E8D">
        <w:rPr>
          <w:rFonts w:cs="Trebuchet MS"/>
          <w:color w:val="000000"/>
        </w:rPr>
        <w:t xml:space="preserve">Promoting awareness </w:t>
      </w:r>
      <w:r w:rsidR="00161A93" w:rsidRPr="00CD2E8D">
        <w:rPr>
          <w:rFonts w:cs="Trebuchet MS"/>
          <w:color w:val="000000"/>
        </w:rPr>
        <w:t xml:space="preserve">of </w:t>
      </w:r>
      <w:r w:rsidRPr="00CD2E8D">
        <w:rPr>
          <w:rFonts w:cs="Trebuchet MS"/>
          <w:color w:val="000000"/>
        </w:rPr>
        <w:t>New Zealand‘s biosecurity status</w:t>
      </w:r>
      <w:r w:rsidR="00161A93" w:rsidRPr="00CD2E8D">
        <w:rPr>
          <w:rFonts w:cs="Trebuchet MS"/>
          <w:color w:val="000000"/>
        </w:rPr>
        <w:t xml:space="preserve"> and assisting MPI in detecting, reporting and managing pests</w:t>
      </w:r>
      <w:r w:rsidRPr="00CD2E8D">
        <w:rPr>
          <w:rFonts w:cs="Trebuchet MS"/>
          <w:color w:val="000000"/>
        </w:rPr>
        <w:t xml:space="preserve">. </w:t>
      </w:r>
    </w:p>
    <w:p w:rsidR="003243D8" w:rsidRPr="00CD2E8D" w:rsidRDefault="009E44A3" w:rsidP="003243D8">
      <w:pPr>
        <w:pStyle w:val="ListParagraph"/>
        <w:numPr>
          <w:ilvl w:val="0"/>
          <w:numId w:val="6"/>
        </w:numPr>
        <w:autoSpaceDE w:val="0"/>
        <w:autoSpaceDN w:val="0"/>
        <w:adjustRightInd w:val="0"/>
        <w:spacing w:after="141"/>
        <w:rPr>
          <w:rFonts w:cs="Trebuchet MS"/>
          <w:color w:val="000000"/>
        </w:rPr>
      </w:pPr>
      <w:r w:rsidRPr="00CD2E8D">
        <w:rPr>
          <w:rFonts w:cs="Trebuchet MS"/>
          <w:color w:val="000000"/>
        </w:rPr>
        <w:t>Communicating with tomato growers and raising awareness of biosecurity, key quarantine pests and response arrangements</w:t>
      </w:r>
      <w:r w:rsidR="003243D8" w:rsidRPr="00CD2E8D">
        <w:rPr>
          <w:rFonts w:cs="Trebuchet MS"/>
          <w:color w:val="000000"/>
        </w:rPr>
        <w:t xml:space="preserve">. </w:t>
      </w:r>
    </w:p>
    <w:p w:rsidR="00C07076" w:rsidRPr="00CD2E8D" w:rsidRDefault="00184A78" w:rsidP="00C07076">
      <w:pPr>
        <w:autoSpaceDE w:val="0"/>
        <w:autoSpaceDN w:val="0"/>
        <w:adjustRightInd w:val="0"/>
        <w:spacing w:after="141"/>
        <w:ind w:left="567"/>
        <w:rPr>
          <w:rFonts w:cs="Trebuchet MS"/>
          <w:color w:val="000000"/>
        </w:rPr>
      </w:pPr>
      <w:r w:rsidRPr="00CD2E8D">
        <w:rPr>
          <w:rFonts w:cs="Trebuchet MS"/>
          <w:color w:val="000000"/>
        </w:rPr>
        <w:t xml:space="preserve">TNZ already undertakes these activities to some degree. </w:t>
      </w:r>
    </w:p>
    <w:p w:rsidR="00C07076" w:rsidRPr="00CD2E8D" w:rsidRDefault="00C07076" w:rsidP="00C07076">
      <w:pPr>
        <w:pStyle w:val="Default"/>
        <w:ind w:left="567"/>
        <w:rPr>
          <w:sz w:val="22"/>
          <w:szCs w:val="22"/>
        </w:rPr>
      </w:pPr>
    </w:p>
    <w:p w:rsidR="005948CA" w:rsidRPr="00CD2E8D" w:rsidRDefault="005948CA" w:rsidP="003243D8">
      <w:pPr>
        <w:pStyle w:val="Default"/>
        <w:numPr>
          <w:ilvl w:val="0"/>
          <w:numId w:val="5"/>
        </w:numPr>
        <w:ind w:left="567" w:hanging="567"/>
        <w:rPr>
          <w:sz w:val="22"/>
          <w:szCs w:val="22"/>
        </w:rPr>
      </w:pPr>
      <w:r w:rsidRPr="00CD2E8D">
        <w:rPr>
          <w:b/>
          <w:bCs/>
          <w:sz w:val="22"/>
          <w:szCs w:val="22"/>
        </w:rPr>
        <w:t xml:space="preserve">When does joint decision making and cost sharing begin? </w:t>
      </w:r>
    </w:p>
    <w:p w:rsidR="005948CA" w:rsidRPr="00CD2E8D" w:rsidRDefault="005948CA" w:rsidP="003243D8">
      <w:pPr>
        <w:pStyle w:val="Default"/>
        <w:ind w:left="567"/>
        <w:rPr>
          <w:sz w:val="22"/>
          <w:szCs w:val="22"/>
        </w:rPr>
      </w:pPr>
      <w:r w:rsidRPr="00CD2E8D">
        <w:rPr>
          <w:sz w:val="22"/>
          <w:szCs w:val="22"/>
        </w:rPr>
        <w:t xml:space="preserve">Joint decision-making for response activities will commence as soon as an industry organisation signs the deed. </w:t>
      </w:r>
    </w:p>
    <w:p w:rsidR="00184A78" w:rsidRPr="00CD2E8D" w:rsidRDefault="00184A78" w:rsidP="003243D8">
      <w:pPr>
        <w:ind w:left="567"/>
      </w:pPr>
    </w:p>
    <w:p w:rsidR="00527A9D" w:rsidRPr="00CD2E8D" w:rsidRDefault="005948CA" w:rsidP="003243D8">
      <w:pPr>
        <w:ind w:left="567"/>
      </w:pPr>
      <w:r w:rsidRPr="00CD2E8D">
        <w:t>Joint decision-making and cost sharing for readiness activitie</w:t>
      </w:r>
      <w:r w:rsidR="00184A78" w:rsidRPr="00CD2E8D">
        <w:t>s will commence as agreed in</w:t>
      </w:r>
      <w:r w:rsidRPr="00CD2E8D">
        <w:t xml:space="preserve"> Operational Agreement</w:t>
      </w:r>
      <w:r w:rsidR="00184A78" w:rsidRPr="00CD2E8D">
        <w:t>s for specific pests</w:t>
      </w:r>
      <w:r w:rsidRPr="00CD2E8D">
        <w:t>.</w:t>
      </w:r>
    </w:p>
    <w:p w:rsidR="003243D8" w:rsidRPr="00CD2E8D" w:rsidRDefault="003243D8" w:rsidP="003243D8">
      <w:pPr>
        <w:ind w:left="567"/>
      </w:pPr>
    </w:p>
    <w:p w:rsidR="00527A9D" w:rsidRPr="00CD2E8D" w:rsidRDefault="00527A9D" w:rsidP="00527A9D">
      <w:pPr>
        <w:pStyle w:val="ListParagraph"/>
        <w:numPr>
          <w:ilvl w:val="0"/>
          <w:numId w:val="5"/>
        </w:numPr>
        <w:ind w:left="567" w:hanging="567"/>
        <w:rPr>
          <w:b/>
        </w:rPr>
      </w:pPr>
      <w:r w:rsidRPr="00CD2E8D">
        <w:rPr>
          <w:b/>
        </w:rPr>
        <w:t>Have any sectors already signed the Deed?</w:t>
      </w:r>
    </w:p>
    <w:p w:rsidR="00527A9D" w:rsidRPr="00CD2E8D" w:rsidRDefault="00527A9D" w:rsidP="00527A9D">
      <w:pPr>
        <w:ind w:left="567"/>
      </w:pPr>
      <w:r w:rsidRPr="00CD2E8D">
        <w:t xml:space="preserve">There are two industry groups ready to sign the Deed </w:t>
      </w:r>
      <w:r w:rsidR="00184A78" w:rsidRPr="00CD2E8D">
        <w:t>by</w:t>
      </w:r>
      <w:r w:rsidRPr="00CD2E8D">
        <w:t xml:space="preserve"> June 2014.</w:t>
      </w:r>
    </w:p>
    <w:p w:rsidR="00527A9D" w:rsidRPr="00CD2E8D" w:rsidRDefault="00527A9D" w:rsidP="00527A9D">
      <w:pPr>
        <w:pStyle w:val="Subheading"/>
        <w:spacing w:line="240" w:lineRule="auto"/>
        <w:ind w:firstLine="0"/>
        <w:rPr>
          <w:rFonts w:ascii="Calibri" w:hAnsi="Calibri"/>
          <w:b w:val="0"/>
          <w:sz w:val="22"/>
          <w:szCs w:val="22"/>
        </w:rPr>
      </w:pPr>
    </w:p>
    <w:p w:rsidR="00FE708E" w:rsidRPr="00CD2E8D" w:rsidRDefault="00161A93" w:rsidP="00527A9D">
      <w:pPr>
        <w:pStyle w:val="Subheading"/>
        <w:numPr>
          <w:ilvl w:val="0"/>
          <w:numId w:val="5"/>
        </w:numPr>
        <w:spacing w:line="240" w:lineRule="auto"/>
        <w:ind w:left="567" w:hanging="567"/>
        <w:rPr>
          <w:rFonts w:ascii="Calibri" w:hAnsi="Calibri"/>
          <w:sz w:val="22"/>
          <w:szCs w:val="22"/>
        </w:rPr>
      </w:pPr>
      <w:r w:rsidRPr="00CD2E8D">
        <w:rPr>
          <w:rFonts w:ascii="Calibri" w:hAnsi="Calibri"/>
          <w:sz w:val="22"/>
          <w:szCs w:val="22"/>
        </w:rPr>
        <w:t>How will T</w:t>
      </w:r>
      <w:r w:rsidR="00184A78" w:rsidRPr="00CD2E8D">
        <w:rPr>
          <w:rFonts w:ascii="Calibri" w:hAnsi="Calibri"/>
          <w:sz w:val="22"/>
          <w:szCs w:val="22"/>
        </w:rPr>
        <w:t>NZ</w:t>
      </w:r>
      <w:r w:rsidRPr="00CD2E8D">
        <w:rPr>
          <w:rFonts w:ascii="Calibri" w:hAnsi="Calibri"/>
          <w:sz w:val="22"/>
          <w:szCs w:val="22"/>
        </w:rPr>
        <w:t xml:space="preserve"> fund commitments to GIA</w:t>
      </w:r>
      <w:r w:rsidR="00FE708E" w:rsidRPr="00CD2E8D">
        <w:rPr>
          <w:rFonts w:ascii="Calibri" w:hAnsi="Calibri"/>
          <w:sz w:val="22"/>
          <w:szCs w:val="22"/>
        </w:rPr>
        <w:t>?</w:t>
      </w:r>
    </w:p>
    <w:p w:rsidR="00FE708E" w:rsidRPr="00CD2E8D" w:rsidRDefault="00161A93" w:rsidP="00161A93">
      <w:pPr>
        <w:pStyle w:val="Subheading"/>
        <w:spacing w:line="240" w:lineRule="auto"/>
        <w:ind w:firstLine="0"/>
        <w:rPr>
          <w:rFonts w:ascii="Calibri" w:hAnsi="Calibri"/>
          <w:b w:val="0"/>
          <w:sz w:val="22"/>
          <w:szCs w:val="22"/>
        </w:rPr>
      </w:pPr>
      <w:r w:rsidRPr="00CD2E8D">
        <w:rPr>
          <w:rFonts w:ascii="Calibri" w:hAnsi="Calibri"/>
          <w:b w:val="0"/>
          <w:sz w:val="22"/>
          <w:szCs w:val="22"/>
        </w:rPr>
        <w:t>TomatoesNZ intends to fund minimum commitments and readiness activities from existing commodity levy funds</w:t>
      </w:r>
      <w:r w:rsidR="00FE708E" w:rsidRPr="00CD2E8D">
        <w:rPr>
          <w:rFonts w:ascii="Calibri" w:hAnsi="Calibri"/>
          <w:b w:val="0"/>
          <w:sz w:val="22"/>
          <w:szCs w:val="22"/>
        </w:rPr>
        <w:t>.</w:t>
      </w:r>
      <w:r w:rsidRPr="00CD2E8D">
        <w:rPr>
          <w:rFonts w:ascii="Calibri" w:hAnsi="Calibri"/>
          <w:b w:val="0"/>
          <w:sz w:val="22"/>
          <w:szCs w:val="22"/>
        </w:rPr>
        <w:t xml:space="preserve">  In a response scenario, it is likely that the funding requirements will exceed the capability of the existing commodity levy.  TomatoesNZ intends to establish a biosecurity levy to cover the costs of responding to a quarantine pest.  The levy will be set a</w:t>
      </w:r>
      <w:r w:rsidR="00184A78" w:rsidRPr="00CD2E8D">
        <w:rPr>
          <w:rFonts w:ascii="Calibri" w:hAnsi="Calibri"/>
          <w:b w:val="0"/>
          <w:sz w:val="22"/>
          <w:szCs w:val="22"/>
        </w:rPr>
        <w:t>t</w:t>
      </w:r>
      <w:r w:rsidRPr="00CD2E8D">
        <w:rPr>
          <w:rFonts w:ascii="Calibri" w:hAnsi="Calibri"/>
          <w:b w:val="0"/>
          <w:sz w:val="22"/>
          <w:szCs w:val="22"/>
        </w:rPr>
        <w:t xml:space="preserve"> zero until such time as it is needed to fund a response, when the levy will then come into force.  </w:t>
      </w:r>
    </w:p>
    <w:p w:rsidR="00FE708E" w:rsidRPr="00CD2E8D" w:rsidRDefault="00FE708E" w:rsidP="00841167">
      <w:pPr>
        <w:pStyle w:val="Subheading"/>
        <w:spacing w:line="240" w:lineRule="auto"/>
        <w:rPr>
          <w:rFonts w:ascii="Calibri" w:hAnsi="Calibri"/>
          <w:b w:val="0"/>
          <w:sz w:val="22"/>
          <w:szCs w:val="22"/>
        </w:rPr>
      </w:pPr>
    </w:p>
    <w:p w:rsidR="00FE708E" w:rsidRPr="00CD2E8D" w:rsidRDefault="00FE708E" w:rsidP="00527A9D">
      <w:pPr>
        <w:pStyle w:val="Subheading"/>
        <w:numPr>
          <w:ilvl w:val="0"/>
          <w:numId w:val="5"/>
        </w:numPr>
        <w:spacing w:line="240" w:lineRule="auto"/>
        <w:ind w:left="567" w:hanging="567"/>
        <w:rPr>
          <w:rFonts w:ascii="Calibri" w:hAnsi="Calibri"/>
          <w:sz w:val="22"/>
          <w:szCs w:val="22"/>
        </w:rPr>
      </w:pPr>
      <w:r w:rsidRPr="00CD2E8D">
        <w:rPr>
          <w:rFonts w:ascii="Calibri" w:hAnsi="Calibri"/>
          <w:sz w:val="22"/>
          <w:szCs w:val="22"/>
        </w:rPr>
        <w:t>How much will this biosecurity levy be?</w:t>
      </w:r>
    </w:p>
    <w:p w:rsidR="00FE708E" w:rsidRPr="00CD2E8D" w:rsidRDefault="00161A93" w:rsidP="00521129">
      <w:pPr>
        <w:ind w:left="567"/>
      </w:pPr>
      <w:r w:rsidRPr="00CD2E8D">
        <w:t>After signing the Deed, TNZ will enter into discussions with MPI on responding to specific pests.  These discussions will estimate the costs of preparing for and responding to quarantine pests.  Once this informati</w:t>
      </w:r>
      <w:r w:rsidR="00D26EA2" w:rsidRPr="00CD2E8D">
        <w:t xml:space="preserve">on is known, </w:t>
      </w:r>
      <w:r w:rsidRPr="00CD2E8D">
        <w:t xml:space="preserve">TNZ will consult with growers on whether </w:t>
      </w:r>
      <w:r w:rsidR="00D26EA2" w:rsidRPr="00CD2E8D">
        <w:t>a specific Operational Agreement should be signed.  Details on the cost of the biosecurity levy will be included in the consultation.  If an Operational Agreement is signed and a response occurs, t</w:t>
      </w:r>
      <w:r w:rsidR="009E2DB5" w:rsidRPr="00CD2E8D">
        <w:t>he TNZ</w:t>
      </w:r>
      <w:r w:rsidR="00FE708E" w:rsidRPr="00CD2E8D">
        <w:t xml:space="preserve"> Board would have the authority to inc</w:t>
      </w:r>
      <w:r w:rsidR="009E2DB5" w:rsidRPr="00CD2E8D">
        <w:t xml:space="preserve">rease the biosecurity levy </w:t>
      </w:r>
      <w:r w:rsidR="00FE708E" w:rsidRPr="00CD2E8D">
        <w:t xml:space="preserve">to recover response </w:t>
      </w:r>
      <w:r w:rsidR="00FE708E" w:rsidRPr="00CD2E8D">
        <w:lastRenderedPageBreak/>
        <w:t xml:space="preserve">costs up to </w:t>
      </w:r>
      <w:r w:rsidR="00D26EA2" w:rsidRPr="00CD2E8D">
        <w:t>a predetermined amount – known as a fiscal cap</w:t>
      </w:r>
      <w:r w:rsidR="00FE708E" w:rsidRPr="00CD2E8D">
        <w:t>. Once response costs were paid, the levy would be returned to</w:t>
      </w:r>
      <w:r w:rsidR="002227B2" w:rsidRPr="00CD2E8D">
        <w:t xml:space="preserve"> zero. </w:t>
      </w:r>
    </w:p>
    <w:p w:rsidR="00FE708E" w:rsidRPr="00CD2E8D" w:rsidRDefault="00FE708E" w:rsidP="00841167">
      <w:pPr>
        <w:ind w:left="567" w:hanging="567"/>
      </w:pPr>
    </w:p>
    <w:p w:rsidR="00FE708E" w:rsidRPr="00CD2E8D" w:rsidRDefault="009E2DB5" w:rsidP="00527A9D">
      <w:pPr>
        <w:pStyle w:val="Subheading"/>
        <w:numPr>
          <w:ilvl w:val="0"/>
          <w:numId w:val="5"/>
        </w:numPr>
        <w:spacing w:line="240" w:lineRule="auto"/>
        <w:ind w:left="567" w:hanging="567"/>
        <w:rPr>
          <w:rFonts w:ascii="Calibri" w:hAnsi="Calibri"/>
          <w:sz w:val="22"/>
          <w:szCs w:val="22"/>
        </w:rPr>
      </w:pPr>
      <w:r w:rsidRPr="00CD2E8D">
        <w:rPr>
          <w:rFonts w:ascii="Calibri" w:hAnsi="Calibri"/>
          <w:sz w:val="22"/>
          <w:szCs w:val="22"/>
        </w:rPr>
        <w:t>What happens if the tomato</w:t>
      </w:r>
      <w:r w:rsidR="00FE708E" w:rsidRPr="00CD2E8D">
        <w:rPr>
          <w:rFonts w:ascii="Calibri" w:hAnsi="Calibri"/>
          <w:sz w:val="22"/>
          <w:szCs w:val="22"/>
        </w:rPr>
        <w:t xml:space="preserve"> industry’s cost of a response exceeds </w:t>
      </w:r>
      <w:r w:rsidR="007F4D76" w:rsidRPr="00CD2E8D">
        <w:rPr>
          <w:rFonts w:ascii="Calibri" w:hAnsi="Calibri"/>
          <w:sz w:val="22"/>
          <w:szCs w:val="22"/>
        </w:rPr>
        <w:t xml:space="preserve">the </w:t>
      </w:r>
      <w:r w:rsidRPr="00CD2E8D">
        <w:rPr>
          <w:rFonts w:ascii="Calibri" w:hAnsi="Calibri"/>
          <w:sz w:val="22"/>
          <w:szCs w:val="22"/>
        </w:rPr>
        <w:t>fiscal cap</w:t>
      </w:r>
      <w:r w:rsidR="00FE708E" w:rsidRPr="00CD2E8D">
        <w:rPr>
          <w:rFonts w:ascii="Calibri" w:hAnsi="Calibri"/>
          <w:sz w:val="22"/>
          <w:szCs w:val="22"/>
        </w:rPr>
        <w:t>?</w:t>
      </w:r>
    </w:p>
    <w:p w:rsidR="00FE708E" w:rsidRPr="00CD2E8D" w:rsidRDefault="00FE708E" w:rsidP="00527A9D">
      <w:pPr>
        <w:ind w:left="567"/>
      </w:pPr>
      <w:r w:rsidRPr="00CD2E8D">
        <w:t>It is proposed that an industry decisio</w:t>
      </w:r>
      <w:r w:rsidR="00612B2D" w:rsidRPr="00CD2E8D">
        <w:t>n would be taken to determine whether</w:t>
      </w:r>
      <w:r w:rsidRPr="00CD2E8D">
        <w:t xml:space="preserve"> the industry </w:t>
      </w:r>
      <w:r w:rsidR="00612B2D" w:rsidRPr="00CD2E8D">
        <w:t>supports</w:t>
      </w:r>
      <w:r w:rsidRPr="00CD2E8D">
        <w:t xml:space="preserve"> </w:t>
      </w:r>
      <w:r w:rsidR="00612B2D" w:rsidRPr="00CD2E8D">
        <w:t>continuing to fund a</w:t>
      </w:r>
      <w:r w:rsidRPr="00CD2E8D">
        <w:t xml:space="preserve"> specific response if it’s going to exceed </w:t>
      </w:r>
      <w:r w:rsidR="009E2DB5" w:rsidRPr="00CD2E8D">
        <w:t>the fiscal cap</w:t>
      </w:r>
      <w:r w:rsidRPr="00CD2E8D">
        <w:t>.</w:t>
      </w:r>
    </w:p>
    <w:p w:rsidR="00FE708E" w:rsidRPr="00CD2E8D" w:rsidRDefault="00FE708E" w:rsidP="00D26EA2">
      <w:pPr>
        <w:pStyle w:val="Subheading"/>
        <w:spacing w:line="240" w:lineRule="auto"/>
        <w:ind w:left="0" w:firstLine="0"/>
        <w:rPr>
          <w:rFonts w:ascii="Calibri" w:hAnsi="Calibri"/>
          <w:b w:val="0"/>
          <w:sz w:val="22"/>
          <w:szCs w:val="22"/>
        </w:rPr>
      </w:pPr>
    </w:p>
    <w:p w:rsidR="00FE708E" w:rsidRPr="00CD2E8D" w:rsidRDefault="00FE708E" w:rsidP="00527A9D">
      <w:pPr>
        <w:pStyle w:val="Subheading"/>
        <w:numPr>
          <w:ilvl w:val="0"/>
          <w:numId w:val="5"/>
        </w:numPr>
        <w:spacing w:line="240" w:lineRule="auto"/>
        <w:ind w:left="567" w:hanging="567"/>
        <w:rPr>
          <w:rFonts w:ascii="Calibri" w:hAnsi="Calibri"/>
          <w:sz w:val="22"/>
          <w:szCs w:val="22"/>
        </w:rPr>
      </w:pPr>
      <w:r w:rsidRPr="00CD2E8D">
        <w:rPr>
          <w:rFonts w:ascii="Calibri" w:hAnsi="Calibri"/>
          <w:sz w:val="22"/>
          <w:szCs w:val="22"/>
        </w:rPr>
        <w:t xml:space="preserve">What happens if we don’t </w:t>
      </w:r>
      <w:r w:rsidR="00527A9D" w:rsidRPr="00CD2E8D">
        <w:rPr>
          <w:rFonts w:ascii="Calibri" w:hAnsi="Calibri"/>
          <w:sz w:val="22"/>
          <w:szCs w:val="22"/>
        </w:rPr>
        <w:t>sign the Deed</w:t>
      </w:r>
      <w:r w:rsidRPr="00CD2E8D">
        <w:rPr>
          <w:rFonts w:ascii="Calibri" w:hAnsi="Calibri"/>
          <w:sz w:val="22"/>
          <w:szCs w:val="22"/>
        </w:rPr>
        <w:t>?</w:t>
      </w:r>
    </w:p>
    <w:p w:rsidR="00FE708E" w:rsidRPr="00CD2E8D" w:rsidRDefault="00FE708E" w:rsidP="00527A9D">
      <w:pPr>
        <w:pStyle w:val="Subheading"/>
        <w:spacing w:line="240" w:lineRule="auto"/>
        <w:rPr>
          <w:rFonts w:ascii="Calibri" w:hAnsi="Calibri"/>
          <w:sz w:val="22"/>
          <w:szCs w:val="22"/>
        </w:rPr>
      </w:pPr>
      <w:r w:rsidRPr="00CD2E8D">
        <w:rPr>
          <w:rFonts w:ascii="Calibri" w:hAnsi="Calibri"/>
          <w:sz w:val="22"/>
          <w:szCs w:val="22"/>
        </w:rPr>
        <w:tab/>
      </w:r>
      <w:r w:rsidR="00612B2D" w:rsidRPr="00CD2E8D">
        <w:rPr>
          <w:rFonts w:ascii="Calibri" w:hAnsi="Calibri"/>
          <w:b w:val="0"/>
          <w:sz w:val="22"/>
          <w:szCs w:val="22"/>
        </w:rPr>
        <w:t>A non-signatory industry will</w:t>
      </w:r>
      <w:r w:rsidRPr="00CD2E8D">
        <w:rPr>
          <w:rFonts w:ascii="Calibri" w:hAnsi="Calibri"/>
          <w:b w:val="0"/>
          <w:sz w:val="22"/>
          <w:szCs w:val="22"/>
        </w:rPr>
        <w:t xml:space="preserve"> not have a seat at the ‘decision-making’ table</w:t>
      </w:r>
      <w:r w:rsidR="00612B2D" w:rsidRPr="00CD2E8D">
        <w:rPr>
          <w:rFonts w:ascii="Calibri" w:hAnsi="Calibri"/>
          <w:b w:val="0"/>
          <w:sz w:val="22"/>
          <w:szCs w:val="22"/>
        </w:rPr>
        <w:t xml:space="preserve"> for biosecurity readiness and response</w:t>
      </w:r>
      <w:r w:rsidRPr="00CD2E8D">
        <w:rPr>
          <w:rFonts w:ascii="Calibri" w:hAnsi="Calibri"/>
          <w:b w:val="0"/>
          <w:sz w:val="22"/>
          <w:szCs w:val="22"/>
        </w:rPr>
        <w:t xml:space="preserve">, nor will they have any input into </w:t>
      </w:r>
      <w:r w:rsidR="00612B2D" w:rsidRPr="00CD2E8D">
        <w:rPr>
          <w:rFonts w:ascii="Calibri" w:hAnsi="Calibri"/>
          <w:b w:val="0"/>
          <w:sz w:val="22"/>
          <w:szCs w:val="22"/>
        </w:rPr>
        <w:t>a</w:t>
      </w:r>
      <w:r w:rsidRPr="00CD2E8D">
        <w:rPr>
          <w:rFonts w:ascii="Calibri" w:hAnsi="Calibri"/>
          <w:b w:val="0"/>
          <w:sz w:val="22"/>
          <w:szCs w:val="22"/>
        </w:rPr>
        <w:t xml:space="preserve"> response or how it is managed. If a non-signatory industry benefits from </w:t>
      </w:r>
      <w:r w:rsidR="00612B2D" w:rsidRPr="00CD2E8D">
        <w:rPr>
          <w:rFonts w:ascii="Calibri" w:hAnsi="Calibri"/>
          <w:b w:val="0"/>
          <w:sz w:val="22"/>
          <w:szCs w:val="22"/>
        </w:rPr>
        <w:t>a response, MPI will recover a</w:t>
      </w:r>
      <w:r w:rsidRPr="00CD2E8D">
        <w:rPr>
          <w:rFonts w:ascii="Calibri" w:hAnsi="Calibri"/>
          <w:b w:val="0"/>
          <w:sz w:val="22"/>
          <w:szCs w:val="22"/>
        </w:rPr>
        <w:t xml:space="preserve"> share of the response costs from those industry members. In other words, those industries will receive a bill for the cost, without any input into the response and without having access to the transitional financial discounts.</w:t>
      </w:r>
    </w:p>
    <w:p w:rsidR="00904887" w:rsidRPr="00CD2E8D" w:rsidRDefault="00904887" w:rsidP="00527A9D">
      <w:pPr>
        <w:pStyle w:val="Subheading"/>
        <w:spacing w:line="240" w:lineRule="auto"/>
        <w:rPr>
          <w:rFonts w:ascii="Calibri" w:hAnsi="Calibri"/>
          <w:b w:val="0"/>
          <w:sz w:val="22"/>
          <w:szCs w:val="22"/>
        </w:rPr>
      </w:pPr>
    </w:p>
    <w:p w:rsidR="00D26EA2" w:rsidRPr="00CD2E8D" w:rsidRDefault="006B3CE3" w:rsidP="00527A9D">
      <w:pPr>
        <w:pStyle w:val="ListParagraph"/>
        <w:numPr>
          <w:ilvl w:val="0"/>
          <w:numId w:val="5"/>
        </w:numPr>
        <w:ind w:left="567" w:hanging="567"/>
      </w:pPr>
      <w:r w:rsidRPr="00CD2E8D">
        <w:rPr>
          <w:rFonts w:cstheme="minorBidi"/>
          <w:b/>
        </w:rPr>
        <w:t>Why should growers pay</w:t>
      </w:r>
      <w:r w:rsidR="009B5913" w:rsidRPr="00CD2E8D">
        <w:rPr>
          <w:rFonts w:cstheme="minorBidi"/>
          <w:b/>
        </w:rPr>
        <w:t xml:space="preserve"> another levy</w:t>
      </w:r>
      <w:r w:rsidR="00F00DE1" w:rsidRPr="00CD2E8D">
        <w:rPr>
          <w:rFonts w:cstheme="minorBidi"/>
          <w:b/>
        </w:rPr>
        <w:t xml:space="preserve"> when government is responsible for the border</w:t>
      </w:r>
      <w:r w:rsidR="0064481B" w:rsidRPr="00CD2E8D">
        <w:rPr>
          <w:rFonts w:cstheme="minorBidi"/>
          <w:b/>
        </w:rPr>
        <w:t>,</w:t>
      </w:r>
      <w:r w:rsidR="000813B1" w:rsidRPr="00CD2E8D">
        <w:rPr>
          <w:rFonts w:cstheme="minorBidi"/>
          <w:b/>
        </w:rPr>
        <w:t xml:space="preserve"> including </w:t>
      </w:r>
      <w:r w:rsidR="00F00DE1" w:rsidRPr="00CD2E8D">
        <w:rPr>
          <w:rFonts w:cstheme="minorBidi"/>
          <w:b/>
        </w:rPr>
        <w:t>any breach</w:t>
      </w:r>
      <w:r w:rsidR="000813B1" w:rsidRPr="00CD2E8D">
        <w:rPr>
          <w:rFonts w:cstheme="minorBidi"/>
          <w:b/>
        </w:rPr>
        <w:t xml:space="preserve"> and resulting costs</w:t>
      </w:r>
      <w:r w:rsidR="00F00DE1" w:rsidRPr="00CD2E8D">
        <w:rPr>
          <w:rFonts w:cstheme="minorBidi"/>
          <w:b/>
        </w:rPr>
        <w:t>?</w:t>
      </w:r>
    </w:p>
    <w:p w:rsidR="00F00DE1" w:rsidRPr="00CD2E8D" w:rsidRDefault="00F00DE1" w:rsidP="00D26EA2">
      <w:pPr>
        <w:pStyle w:val="ListParagraph"/>
        <w:ind w:left="567"/>
      </w:pPr>
      <w:r w:rsidRPr="00CD2E8D">
        <w:t xml:space="preserve">The government believes it </w:t>
      </w:r>
      <w:r w:rsidR="000813B1" w:rsidRPr="00CD2E8D">
        <w:t xml:space="preserve">is </w:t>
      </w:r>
      <w:r w:rsidRPr="00CD2E8D">
        <w:t xml:space="preserve">reasonable </w:t>
      </w:r>
      <w:r w:rsidR="000813B1" w:rsidRPr="00CD2E8D">
        <w:t xml:space="preserve">for </w:t>
      </w:r>
      <w:r w:rsidRPr="00CD2E8D">
        <w:t xml:space="preserve">industries </w:t>
      </w:r>
      <w:r w:rsidR="000813B1" w:rsidRPr="00CD2E8D">
        <w:t xml:space="preserve">to </w:t>
      </w:r>
      <w:r w:rsidR="009E2DB5" w:rsidRPr="00CD2E8D">
        <w:t>contribute to managing</w:t>
      </w:r>
      <w:r w:rsidRPr="00CD2E8D">
        <w:t xml:space="preserve"> </w:t>
      </w:r>
      <w:r w:rsidR="00A8712C" w:rsidRPr="00CD2E8D">
        <w:t xml:space="preserve">biosecurity risks </w:t>
      </w:r>
      <w:r w:rsidR="000813B1" w:rsidRPr="00CD2E8D">
        <w:t xml:space="preserve">for </w:t>
      </w:r>
      <w:r w:rsidR="00A8712C" w:rsidRPr="00CD2E8D">
        <w:t>their industry</w:t>
      </w:r>
      <w:r w:rsidRPr="00CD2E8D">
        <w:t xml:space="preserve">, as they would other business risks. </w:t>
      </w:r>
      <w:r w:rsidR="00F54041" w:rsidRPr="00CD2E8D">
        <w:t>It also believes</w:t>
      </w:r>
      <w:r w:rsidR="000813B1" w:rsidRPr="00CD2E8D">
        <w:t xml:space="preserve"> shared costs and decision-making </w:t>
      </w:r>
      <w:r w:rsidRPr="00CD2E8D">
        <w:t>will lead to better priority setting an</w:t>
      </w:r>
      <w:r w:rsidR="00FE5E8E" w:rsidRPr="00CD2E8D">
        <w:t xml:space="preserve">d more efficient and effective </w:t>
      </w:r>
      <w:r w:rsidRPr="00CD2E8D">
        <w:t>responses.</w:t>
      </w:r>
    </w:p>
    <w:p w:rsidR="00AE4507" w:rsidRPr="00CD2E8D" w:rsidRDefault="00AE4507" w:rsidP="00527A9D">
      <w:pPr>
        <w:pStyle w:val="ListParagraph"/>
        <w:ind w:left="567" w:hanging="567"/>
      </w:pPr>
    </w:p>
    <w:p w:rsidR="0084240A" w:rsidRPr="00CD2E8D" w:rsidRDefault="0084240A" w:rsidP="00527A9D">
      <w:pPr>
        <w:pStyle w:val="ListParagraph"/>
        <w:numPr>
          <w:ilvl w:val="0"/>
          <w:numId w:val="5"/>
        </w:numPr>
        <w:ind w:left="567" w:hanging="567"/>
        <w:rPr>
          <w:rFonts w:cstheme="minorBidi"/>
          <w:b/>
        </w:rPr>
      </w:pPr>
      <w:r w:rsidRPr="00CD2E8D">
        <w:rPr>
          <w:rFonts w:cstheme="minorBidi"/>
          <w:b/>
        </w:rPr>
        <w:t xml:space="preserve">What else will growers </w:t>
      </w:r>
      <w:proofErr w:type="gramStart"/>
      <w:r w:rsidR="00C15CB0" w:rsidRPr="00CD2E8D">
        <w:rPr>
          <w:rFonts w:cstheme="minorBidi"/>
          <w:b/>
        </w:rPr>
        <w:t>be</w:t>
      </w:r>
      <w:proofErr w:type="gramEnd"/>
      <w:r w:rsidR="00C15CB0" w:rsidRPr="00CD2E8D">
        <w:rPr>
          <w:rFonts w:cstheme="minorBidi"/>
          <w:b/>
        </w:rPr>
        <w:t xml:space="preserve"> expected</w:t>
      </w:r>
      <w:r w:rsidRPr="00CD2E8D">
        <w:rPr>
          <w:rFonts w:cstheme="minorBidi"/>
          <w:b/>
        </w:rPr>
        <w:t xml:space="preserve"> to do under GIA?</w:t>
      </w:r>
    </w:p>
    <w:p w:rsidR="0084240A" w:rsidRPr="00CD2E8D" w:rsidRDefault="0084240A" w:rsidP="0084240A">
      <w:pPr>
        <w:pStyle w:val="ListParagraph"/>
        <w:ind w:left="567"/>
        <w:rPr>
          <w:rFonts w:cstheme="minorBidi"/>
        </w:rPr>
      </w:pPr>
      <w:r w:rsidRPr="00CD2E8D">
        <w:rPr>
          <w:rFonts w:cstheme="minorBidi"/>
        </w:rPr>
        <w:t xml:space="preserve">Operational Agreements on specific pests will include readiness and response plans. These may include asking growers to undertake some specific readiness and activities for those pests on or around their properties (e.g. monitoring, reporting and surveillance). The actions to be taken by growers in a response will also be defined in the Operational Agreements. </w:t>
      </w:r>
    </w:p>
    <w:p w:rsidR="0084240A" w:rsidRPr="00CD2E8D" w:rsidRDefault="0084240A" w:rsidP="0084240A">
      <w:pPr>
        <w:pStyle w:val="ListParagraph"/>
        <w:ind w:left="567"/>
        <w:rPr>
          <w:rFonts w:cstheme="minorBidi"/>
          <w:b/>
        </w:rPr>
      </w:pPr>
    </w:p>
    <w:p w:rsidR="00773C8E" w:rsidRPr="00CD2E8D" w:rsidRDefault="00773C8E" w:rsidP="00527A9D">
      <w:pPr>
        <w:pStyle w:val="ListParagraph"/>
        <w:numPr>
          <w:ilvl w:val="0"/>
          <w:numId w:val="5"/>
        </w:numPr>
        <w:ind w:left="567" w:hanging="567"/>
        <w:rPr>
          <w:rFonts w:cstheme="minorBidi"/>
          <w:b/>
        </w:rPr>
      </w:pPr>
      <w:r w:rsidRPr="00CD2E8D">
        <w:rPr>
          <w:rFonts w:cstheme="minorBidi"/>
          <w:b/>
        </w:rPr>
        <w:t>Is MPI going to reduce funding into biosecurity as a result of industry being required to pay for this activity?</w:t>
      </w:r>
    </w:p>
    <w:p w:rsidR="00D26EA2" w:rsidRPr="00CD2E8D" w:rsidRDefault="00CD5063" w:rsidP="00D26EA2">
      <w:pPr>
        <w:ind w:left="567"/>
      </w:pPr>
      <w:r w:rsidRPr="00CD2E8D">
        <w:t>No,</w:t>
      </w:r>
      <w:r w:rsidR="00D26EA2" w:rsidRPr="00CD2E8D">
        <w:t xml:space="preserve"> the Government states that under GIA</w:t>
      </w:r>
      <w:r w:rsidR="00C07076" w:rsidRPr="00CD2E8D">
        <w:t>,</w:t>
      </w:r>
      <w:r w:rsidR="00D26EA2" w:rsidRPr="00CD2E8D">
        <w:t xml:space="preserve"> biosecurity funding will not decrease.  By implementing a partnership approach, resources will be used more effectively and this will result in better biosecurity protection for the country overall.</w:t>
      </w:r>
    </w:p>
    <w:p w:rsidR="00D26EA2" w:rsidRPr="00CD2E8D" w:rsidRDefault="00D26EA2" w:rsidP="00D26EA2">
      <w:pPr>
        <w:ind w:left="567"/>
      </w:pPr>
    </w:p>
    <w:p w:rsidR="00F00DE1" w:rsidRPr="00CD2E8D" w:rsidRDefault="00841167" w:rsidP="00527A9D">
      <w:pPr>
        <w:pStyle w:val="ListParagraph"/>
        <w:ind w:left="567" w:hanging="567"/>
        <w:rPr>
          <w:b/>
        </w:rPr>
      </w:pPr>
      <w:r w:rsidRPr="00CD2E8D">
        <w:rPr>
          <w:b/>
        </w:rPr>
        <w:t>12.</w:t>
      </w:r>
      <w:r w:rsidRPr="00CD2E8D">
        <w:rPr>
          <w:b/>
        </w:rPr>
        <w:tab/>
      </w:r>
      <w:r w:rsidR="0064481B" w:rsidRPr="00CD2E8D">
        <w:rPr>
          <w:b/>
        </w:rPr>
        <w:t>Will it</w:t>
      </w:r>
      <w:r w:rsidR="00F00DE1" w:rsidRPr="00CD2E8D">
        <w:rPr>
          <w:b/>
        </w:rPr>
        <w:t xml:space="preserve"> b</w:t>
      </w:r>
      <w:r w:rsidR="009E2DB5" w:rsidRPr="00CD2E8D">
        <w:rPr>
          <w:b/>
        </w:rPr>
        <w:t>e a true partnership including G</w:t>
      </w:r>
      <w:r w:rsidR="00F00DE1" w:rsidRPr="00CD2E8D">
        <w:rPr>
          <w:b/>
        </w:rPr>
        <w:t>overnment responding to industry concerns about risks from border activities?</w:t>
      </w:r>
    </w:p>
    <w:p w:rsidR="00C327C7" w:rsidRPr="00CD2E8D" w:rsidRDefault="00C327C7" w:rsidP="005948CA">
      <w:pPr>
        <w:spacing w:after="120"/>
        <w:ind w:left="567"/>
      </w:pPr>
      <w:r w:rsidRPr="00CD2E8D">
        <w:t xml:space="preserve">Under GIA, signatories will have much greater engagement in border and pre-border activities. Government will need to respond to industry concerns and must be able to justify their response to these concerns. </w:t>
      </w:r>
    </w:p>
    <w:p w:rsidR="00AE4507" w:rsidRPr="00CD2E8D" w:rsidRDefault="00AE4507" w:rsidP="005948CA">
      <w:pPr>
        <w:ind w:left="567"/>
      </w:pPr>
      <w:r w:rsidRPr="00CD2E8D">
        <w:t>MPI is working towards engaging signatory industries earlier in the development of draft Import Health Standards</w:t>
      </w:r>
      <w:r w:rsidR="00C07076" w:rsidRPr="00CD2E8D">
        <w:t xml:space="preserve"> (which manage the biosecurity risks of products imported to NZ)</w:t>
      </w:r>
      <w:r w:rsidRPr="00CD2E8D">
        <w:t xml:space="preserve"> to </w:t>
      </w:r>
      <w:r w:rsidR="00C07076" w:rsidRPr="00CD2E8D">
        <w:t>address specific concerns</w:t>
      </w:r>
      <w:r w:rsidRPr="00CD2E8D">
        <w:t xml:space="preserve"> at an earlier stage</w:t>
      </w:r>
      <w:r w:rsidR="00C07076" w:rsidRPr="00CD2E8D">
        <w:t>.</w:t>
      </w:r>
    </w:p>
    <w:p w:rsidR="00D26EA2" w:rsidRPr="00CD2E8D" w:rsidRDefault="00D26EA2" w:rsidP="00527A9D">
      <w:pPr>
        <w:ind w:left="567" w:hanging="567"/>
      </w:pPr>
    </w:p>
    <w:p w:rsidR="00F00DE1" w:rsidRPr="00CD2E8D" w:rsidRDefault="00F00DE1" w:rsidP="00527A9D">
      <w:pPr>
        <w:pStyle w:val="ListParagraph"/>
        <w:numPr>
          <w:ilvl w:val="0"/>
          <w:numId w:val="4"/>
        </w:numPr>
        <w:ind w:left="567" w:hanging="567"/>
        <w:rPr>
          <w:b/>
        </w:rPr>
      </w:pPr>
      <w:r w:rsidRPr="00CD2E8D">
        <w:rPr>
          <w:b/>
        </w:rPr>
        <w:t xml:space="preserve">We grow multiple </w:t>
      </w:r>
      <w:proofErr w:type="gramStart"/>
      <w:r w:rsidRPr="00CD2E8D">
        <w:rPr>
          <w:b/>
        </w:rPr>
        <w:t>crops,</w:t>
      </w:r>
      <w:proofErr w:type="gramEnd"/>
      <w:r w:rsidRPr="00CD2E8D">
        <w:rPr>
          <w:b/>
        </w:rPr>
        <w:t xml:space="preserve"> </w:t>
      </w:r>
      <w:r w:rsidR="00D26EA2" w:rsidRPr="00CD2E8D">
        <w:rPr>
          <w:b/>
        </w:rPr>
        <w:t xml:space="preserve">do </w:t>
      </w:r>
      <w:r w:rsidRPr="00CD2E8D">
        <w:rPr>
          <w:b/>
        </w:rPr>
        <w:t>we have to pay for them all separate</w:t>
      </w:r>
      <w:r w:rsidR="00974D56" w:rsidRPr="00CD2E8D">
        <w:rPr>
          <w:b/>
        </w:rPr>
        <w:t>ly</w:t>
      </w:r>
      <w:r w:rsidRPr="00CD2E8D">
        <w:rPr>
          <w:b/>
        </w:rPr>
        <w:t>?</w:t>
      </w:r>
    </w:p>
    <w:p w:rsidR="009F1FA2" w:rsidRPr="00CD2E8D" w:rsidRDefault="009F1FA2" w:rsidP="005948CA">
      <w:pPr>
        <w:spacing w:after="120"/>
        <w:ind w:left="567"/>
      </w:pPr>
      <w:r w:rsidRPr="00CD2E8D">
        <w:t>Under GIA</w:t>
      </w:r>
      <w:r w:rsidR="00365E95" w:rsidRPr="00CD2E8D">
        <w:t>,</w:t>
      </w:r>
      <w:r w:rsidRPr="00CD2E8D">
        <w:t xml:space="preserve"> separate industries have separate industry representatives and funding mechanisms. This ensures adequate representation of that sector’s </w:t>
      </w:r>
      <w:r w:rsidRPr="00CD2E8D">
        <w:lastRenderedPageBreak/>
        <w:t xml:space="preserve">views </w:t>
      </w:r>
      <w:r w:rsidR="004E1409" w:rsidRPr="00CD2E8D">
        <w:t>in the decision making process. Unfortunately this will mean that growers of multiple crops will be subject to levies from different organisations.</w:t>
      </w:r>
    </w:p>
    <w:p w:rsidR="004E1409" w:rsidRPr="00CD2E8D" w:rsidRDefault="004E1409" w:rsidP="005948CA">
      <w:pPr>
        <w:ind w:left="567"/>
      </w:pPr>
      <w:r w:rsidRPr="00CD2E8D">
        <w:t xml:space="preserve">The horticultural sector has been working together to ensure </w:t>
      </w:r>
      <w:r w:rsidR="00365E95" w:rsidRPr="00CD2E8D">
        <w:t xml:space="preserve">there is </w:t>
      </w:r>
      <w:r w:rsidRPr="00CD2E8D">
        <w:t xml:space="preserve">an aligned approach amongst industry </w:t>
      </w:r>
      <w:r w:rsidR="00C00636" w:rsidRPr="00CD2E8D">
        <w:t>groups.</w:t>
      </w:r>
      <w:bookmarkStart w:id="0" w:name="_GoBack"/>
      <w:bookmarkEnd w:id="0"/>
    </w:p>
    <w:p w:rsidR="009F1FA2" w:rsidRPr="00CD2E8D" w:rsidRDefault="009F1FA2" w:rsidP="00184A78"/>
    <w:sectPr w:rsidR="009F1FA2" w:rsidRPr="00CD2E8D" w:rsidSect="000F1D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212" w:rsidRDefault="00BB2212" w:rsidP="00BB2212">
      <w:r>
        <w:separator/>
      </w:r>
    </w:p>
  </w:endnote>
  <w:endnote w:type="continuationSeparator" w:id="0">
    <w:p w:rsidR="00BB2212" w:rsidRDefault="00BB2212" w:rsidP="00BB2212">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55" w:rsidRDefault="00645355" w:rsidP="00645355">
    <w:pPr>
      <w:pStyle w:val="Footer"/>
      <w:jc w:val="right"/>
    </w:pPr>
    <w:r>
      <w:t>May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212" w:rsidRDefault="00BB2212" w:rsidP="00BB2212">
      <w:r>
        <w:separator/>
      </w:r>
    </w:p>
  </w:footnote>
  <w:footnote w:type="continuationSeparator" w:id="0">
    <w:p w:rsidR="00BB2212" w:rsidRDefault="00BB2212" w:rsidP="00BB2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12" w:rsidRDefault="00BB2212">
    <w:pPr>
      <w:pStyle w:val="Header"/>
    </w:pPr>
    <w:r>
      <w:rPr>
        <w:rFonts w:ascii="Arial" w:hAnsi="Arial" w:cs="Arial"/>
        <w:noProof/>
        <w:lang w:eastAsia="en-NZ"/>
      </w:rPr>
      <w:drawing>
        <wp:anchor distT="0" distB="0" distL="114300" distR="114300" simplePos="0" relativeHeight="251658240" behindDoc="0" locked="0" layoutInCell="1" allowOverlap="1">
          <wp:simplePos x="0" y="0"/>
          <wp:positionH relativeFrom="column">
            <wp:posOffset>1847850</wp:posOffset>
          </wp:positionH>
          <wp:positionV relativeFrom="paragraph">
            <wp:posOffset>-192405</wp:posOffset>
          </wp:positionV>
          <wp:extent cx="2019300" cy="543560"/>
          <wp:effectExtent l="0" t="0" r="0" b="8890"/>
          <wp:wrapSquare wrapText="bothSides"/>
          <wp:docPr id="1" name="Picture 1" descr="S:\3TomatoesNZ\Promotion &amp; Public Relations\TomatoesNZ logo - branding\TomatoesNZ(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3TomatoesNZ\Promotion &amp; Public Relations\TomatoesNZ logo - branding\TomatoesNZ(small).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543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B5745"/>
    <w:multiLevelType w:val="hybridMultilevel"/>
    <w:tmpl w:val="953C8AC0"/>
    <w:lvl w:ilvl="0" w:tplc="8B78ED7A">
      <w:start w:val="1"/>
      <w:numFmt w:val="decimal"/>
      <w:lvlText w:val="%1."/>
      <w:lvlJc w:val="left"/>
      <w:pPr>
        <w:ind w:left="720" w:hanging="360"/>
      </w:pPr>
      <w:rPr>
        <w:rFonts w:ascii="Century Gothic" w:hAnsi="Century Gothic"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3CD71C3"/>
    <w:multiLevelType w:val="hybridMultilevel"/>
    <w:tmpl w:val="9D961D8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4CB7C99"/>
    <w:multiLevelType w:val="hybridMultilevel"/>
    <w:tmpl w:val="F41EC9F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3A7560B9"/>
    <w:multiLevelType w:val="hybridMultilevel"/>
    <w:tmpl w:val="0642949A"/>
    <w:lvl w:ilvl="0" w:tplc="1409000F">
      <w:start w:val="1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99C3C56"/>
    <w:multiLevelType w:val="hybridMultilevel"/>
    <w:tmpl w:val="C57007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EDB7908"/>
    <w:multiLevelType w:val="hybridMultilevel"/>
    <w:tmpl w:val="102CC15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nsid w:val="70EA0E5D"/>
    <w:multiLevelType w:val="hybridMultilevel"/>
    <w:tmpl w:val="6A4C6EA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F00DE1"/>
    <w:rsid w:val="00066F22"/>
    <w:rsid w:val="000813B1"/>
    <w:rsid w:val="000863F7"/>
    <w:rsid w:val="000F1DD8"/>
    <w:rsid w:val="00106A1C"/>
    <w:rsid w:val="00157DAE"/>
    <w:rsid w:val="00161A93"/>
    <w:rsid w:val="00166477"/>
    <w:rsid w:val="00184A78"/>
    <w:rsid w:val="001A1BB6"/>
    <w:rsid w:val="001D7792"/>
    <w:rsid w:val="002201D8"/>
    <w:rsid w:val="002227B2"/>
    <w:rsid w:val="00280F8E"/>
    <w:rsid w:val="002874E8"/>
    <w:rsid w:val="002D6830"/>
    <w:rsid w:val="003243D8"/>
    <w:rsid w:val="00363DED"/>
    <w:rsid w:val="00365E95"/>
    <w:rsid w:val="003825B0"/>
    <w:rsid w:val="00457EBF"/>
    <w:rsid w:val="004806E3"/>
    <w:rsid w:val="00482292"/>
    <w:rsid w:val="004E1409"/>
    <w:rsid w:val="00521129"/>
    <w:rsid w:val="00527A9D"/>
    <w:rsid w:val="005948CA"/>
    <w:rsid w:val="005B5A6D"/>
    <w:rsid w:val="005F6A39"/>
    <w:rsid w:val="00612B2D"/>
    <w:rsid w:val="00625D7F"/>
    <w:rsid w:val="00640B8E"/>
    <w:rsid w:val="0064481B"/>
    <w:rsid w:val="00645355"/>
    <w:rsid w:val="00662465"/>
    <w:rsid w:val="006874E5"/>
    <w:rsid w:val="006A1279"/>
    <w:rsid w:val="006B3CE3"/>
    <w:rsid w:val="00773C8E"/>
    <w:rsid w:val="007E1B6C"/>
    <w:rsid w:val="007E775E"/>
    <w:rsid w:val="007F4D76"/>
    <w:rsid w:val="00826FD2"/>
    <w:rsid w:val="008345AF"/>
    <w:rsid w:val="00837DC7"/>
    <w:rsid w:val="00841167"/>
    <w:rsid w:val="0084240A"/>
    <w:rsid w:val="008C600C"/>
    <w:rsid w:val="00904887"/>
    <w:rsid w:val="0091780D"/>
    <w:rsid w:val="009209A9"/>
    <w:rsid w:val="00941EF8"/>
    <w:rsid w:val="009717DA"/>
    <w:rsid w:val="00974D56"/>
    <w:rsid w:val="009A58AB"/>
    <w:rsid w:val="009B5913"/>
    <w:rsid w:val="009C4FAD"/>
    <w:rsid w:val="009E2DB5"/>
    <w:rsid w:val="009E44A3"/>
    <w:rsid w:val="009F1FA2"/>
    <w:rsid w:val="00A170F5"/>
    <w:rsid w:val="00A8712C"/>
    <w:rsid w:val="00AE4507"/>
    <w:rsid w:val="00AF676E"/>
    <w:rsid w:val="00B143D0"/>
    <w:rsid w:val="00B71C00"/>
    <w:rsid w:val="00B95530"/>
    <w:rsid w:val="00BB2212"/>
    <w:rsid w:val="00BD73A2"/>
    <w:rsid w:val="00C00636"/>
    <w:rsid w:val="00C07076"/>
    <w:rsid w:val="00C15CB0"/>
    <w:rsid w:val="00C327C7"/>
    <w:rsid w:val="00CC0D94"/>
    <w:rsid w:val="00CD065C"/>
    <w:rsid w:val="00CD2E8D"/>
    <w:rsid w:val="00CD5063"/>
    <w:rsid w:val="00D26EA2"/>
    <w:rsid w:val="00D40E66"/>
    <w:rsid w:val="00D61373"/>
    <w:rsid w:val="00D76105"/>
    <w:rsid w:val="00DA2729"/>
    <w:rsid w:val="00DC576B"/>
    <w:rsid w:val="00DD56EA"/>
    <w:rsid w:val="00E52EFD"/>
    <w:rsid w:val="00E84685"/>
    <w:rsid w:val="00EA604D"/>
    <w:rsid w:val="00F00DE1"/>
    <w:rsid w:val="00F306FC"/>
    <w:rsid w:val="00F54041"/>
    <w:rsid w:val="00FE5E8E"/>
    <w:rsid w:val="00FE708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A3"/>
    <w:pPr>
      <w:spacing w:after="0" w:line="240" w:lineRule="auto"/>
      <w:jc w:val="both"/>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E1"/>
    <w:pPr>
      <w:ind w:left="720"/>
      <w:contextualSpacing/>
    </w:pPr>
  </w:style>
  <w:style w:type="character" w:styleId="Hyperlink">
    <w:name w:val="Hyperlink"/>
    <w:basedOn w:val="DefaultParagraphFont"/>
    <w:uiPriority w:val="99"/>
    <w:unhideWhenUsed/>
    <w:rsid w:val="007E775E"/>
    <w:rPr>
      <w:color w:val="0000FF" w:themeColor="hyperlink"/>
      <w:u w:val="single"/>
    </w:rPr>
  </w:style>
  <w:style w:type="paragraph" w:styleId="BalloonText">
    <w:name w:val="Balloon Text"/>
    <w:basedOn w:val="Normal"/>
    <w:link w:val="BalloonTextChar"/>
    <w:uiPriority w:val="99"/>
    <w:semiHidden/>
    <w:unhideWhenUsed/>
    <w:rsid w:val="000813B1"/>
    <w:rPr>
      <w:rFonts w:ascii="Tahoma" w:hAnsi="Tahoma" w:cs="Tahoma"/>
      <w:sz w:val="16"/>
      <w:szCs w:val="16"/>
    </w:rPr>
  </w:style>
  <w:style w:type="character" w:customStyle="1" w:styleId="BalloonTextChar">
    <w:name w:val="Balloon Text Char"/>
    <w:basedOn w:val="DefaultParagraphFont"/>
    <w:link w:val="BalloonText"/>
    <w:uiPriority w:val="99"/>
    <w:semiHidden/>
    <w:rsid w:val="000813B1"/>
    <w:rPr>
      <w:rFonts w:ascii="Tahoma" w:hAnsi="Tahoma" w:cs="Tahoma"/>
      <w:sz w:val="16"/>
      <w:szCs w:val="16"/>
    </w:rPr>
  </w:style>
  <w:style w:type="character" w:styleId="CommentReference">
    <w:name w:val="annotation reference"/>
    <w:basedOn w:val="DefaultParagraphFont"/>
    <w:uiPriority w:val="99"/>
    <w:semiHidden/>
    <w:unhideWhenUsed/>
    <w:rsid w:val="00D61373"/>
    <w:rPr>
      <w:sz w:val="16"/>
      <w:szCs w:val="16"/>
    </w:rPr>
  </w:style>
  <w:style w:type="paragraph" w:styleId="CommentText">
    <w:name w:val="annotation text"/>
    <w:basedOn w:val="Normal"/>
    <w:link w:val="CommentTextChar"/>
    <w:uiPriority w:val="99"/>
    <w:semiHidden/>
    <w:unhideWhenUsed/>
    <w:rsid w:val="00D61373"/>
    <w:rPr>
      <w:sz w:val="20"/>
      <w:szCs w:val="20"/>
    </w:rPr>
  </w:style>
  <w:style w:type="character" w:customStyle="1" w:styleId="CommentTextChar">
    <w:name w:val="Comment Text Char"/>
    <w:basedOn w:val="DefaultParagraphFont"/>
    <w:link w:val="CommentText"/>
    <w:uiPriority w:val="99"/>
    <w:semiHidden/>
    <w:rsid w:val="00D613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373"/>
    <w:rPr>
      <w:b/>
      <w:bCs/>
    </w:rPr>
  </w:style>
  <w:style w:type="character" w:customStyle="1" w:styleId="CommentSubjectChar">
    <w:name w:val="Comment Subject Char"/>
    <w:basedOn w:val="CommentTextChar"/>
    <w:link w:val="CommentSubject"/>
    <w:uiPriority w:val="99"/>
    <w:semiHidden/>
    <w:rsid w:val="00D61373"/>
    <w:rPr>
      <w:rFonts w:ascii="Calibri" w:hAnsi="Calibri" w:cs="Calibri"/>
      <w:b/>
      <w:bCs/>
      <w:sz w:val="20"/>
      <w:szCs w:val="20"/>
    </w:rPr>
  </w:style>
  <w:style w:type="paragraph" w:customStyle="1" w:styleId="Subheading">
    <w:name w:val="Subheading"/>
    <w:basedOn w:val="Normal"/>
    <w:qFormat/>
    <w:rsid w:val="00FE708E"/>
    <w:pPr>
      <w:spacing w:line="260" w:lineRule="exact"/>
      <w:ind w:left="567" w:hanging="567"/>
    </w:pPr>
    <w:rPr>
      <w:rFonts w:asciiTheme="minorHAnsi" w:hAnsiTheme="minorHAnsi" w:cstheme="minorBidi"/>
      <w:b/>
      <w:sz w:val="28"/>
      <w:szCs w:val="23"/>
    </w:rPr>
  </w:style>
  <w:style w:type="paragraph" w:customStyle="1" w:styleId="Default">
    <w:name w:val="Default"/>
    <w:rsid w:val="005948C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B2212"/>
    <w:pPr>
      <w:tabs>
        <w:tab w:val="center" w:pos="4513"/>
        <w:tab w:val="right" w:pos="9026"/>
      </w:tabs>
    </w:pPr>
  </w:style>
  <w:style w:type="character" w:customStyle="1" w:styleId="HeaderChar">
    <w:name w:val="Header Char"/>
    <w:basedOn w:val="DefaultParagraphFont"/>
    <w:link w:val="Header"/>
    <w:uiPriority w:val="99"/>
    <w:rsid w:val="00BB2212"/>
    <w:rPr>
      <w:rFonts w:ascii="Calibri" w:hAnsi="Calibri" w:cs="Calibri"/>
    </w:rPr>
  </w:style>
  <w:style w:type="paragraph" w:styleId="Footer">
    <w:name w:val="footer"/>
    <w:basedOn w:val="Normal"/>
    <w:link w:val="FooterChar"/>
    <w:uiPriority w:val="99"/>
    <w:unhideWhenUsed/>
    <w:rsid w:val="00BB2212"/>
    <w:pPr>
      <w:tabs>
        <w:tab w:val="center" w:pos="4513"/>
        <w:tab w:val="right" w:pos="9026"/>
      </w:tabs>
    </w:pPr>
  </w:style>
  <w:style w:type="character" w:customStyle="1" w:styleId="FooterChar">
    <w:name w:val="Footer Char"/>
    <w:basedOn w:val="DefaultParagraphFont"/>
    <w:link w:val="Footer"/>
    <w:uiPriority w:val="99"/>
    <w:rsid w:val="00BB221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4A3"/>
    <w:pPr>
      <w:spacing w:after="0" w:line="240" w:lineRule="auto"/>
      <w:jc w:val="both"/>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E1"/>
    <w:pPr>
      <w:ind w:left="720"/>
      <w:contextualSpacing/>
    </w:pPr>
  </w:style>
  <w:style w:type="character" w:styleId="Hyperlink">
    <w:name w:val="Hyperlink"/>
    <w:basedOn w:val="DefaultParagraphFont"/>
    <w:uiPriority w:val="99"/>
    <w:unhideWhenUsed/>
    <w:rsid w:val="007E775E"/>
    <w:rPr>
      <w:color w:val="0000FF" w:themeColor="hyperlink"/>
      <w:u w:val="single"/>
    </w:rPr>
  </w:style>
  <w:style w:type="paragraph" w:styleId="BalloonText">
    <w:name w:val="Balloon Text"/>
    <w:basedOn w:val="Normal"/>
    <w:link w:val="BalloonTextChar"/>
    <w:uiPriority w:val="99"/>
    <w:semiHidden/>
    <w:unhideWhenUsed/>
    <w:rsid w:val="000813B1"/>
    <w:rPr>
      <w:rFonts w:ascii="Tahoma" w:hAnsi="Tahoma" w:cs="Tahoma"/>
      <w:sz w:val="16"/>
      <w:szCs w:val="16"/>
    </w:rPr>
  </w:style>
  <w:style w:type="character" w:customStyle="1" w:styleId="BalloonTextChar">
    <w:name w:val="Balloon Text Char"/>
    <w:basedOn w:val="DefaultParagraphFont"/>
    <w:link w:val="BalloonText"/>
    <w:uiPriority w:val="99"/>
    <w:semiHidden/>
    <w:rsid w:val="000813B1"/>
    <w:rPr>
      <w:rFonts w:ascii="Tahoma" w:hAnsi="Tahoma" w:cs="Tahoma"/>
      <w:sz w:val="16"/>
      <w:szCs w:val="16"/>
    </w:rPr>
  </w:style>
  <w:style w:type="character" w:styleId="CommentReference">
    <w:name w:val="annotation reference"/>
    <w:basedOn w:val="DefaultParagraphFont"/>
    <w:uiPriority w:val="99"/>
    <w:semiHidden/>
    <w:unhideWhenUsed/>
    <w:rsid w:val="00D61373"/>
    <w:rPr>
      <w:sz w:val="16"/>
      <w:szCs w:val="16"/>
    </w:rPr>
  </w:style>
  <w:style w:type="paragraph" w:styleId="CommentText">
    <w:name w:val="annotation text"/>
    <w:basedOn w:val="Normal"/>
    <w:link w:val="CommentTextChar"/>
    <w:uiPriority w:val="99"/>
    <w:semiHidden/>
    <w:unhideWhenUsed/>
    <w:rsid w:val="00D61373"/>
    <w:rPr>
      <w:sz w:val="20"/>
      <w:szCs w:val="20"/>
    </w:rPr>
  </w:style>
  <w:style w:type="character" w:customStyle="1" w:styleId="CommentTextChar">
    <w:name w:val="Comment Text Char"/>
    <w:basedOn w:val="DefaultParagraphFont"/>
    <w:link w:val="CommentText"/>
    <w:uiPriority w:val="99"/>
    <w:semiHidden/>
    <w:rsid w:val="00D613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1373"/>
    <w:rPr>
      <w:b/>
      <w:bCs/>
    </w:rPr>
  </w:style>
  <w:style w:type="character" w:customStyle="1" w:styleId="CommentSubjectChar">
    <w:name w:val="Comment Subject Char"/>
    <w:basedOn w:val="CommentTextChar"/>
    <w:link w:val="CommentSubject"/>
    <w:uiPriority w:val="99"/>
    <w:semiHidden/>
    <w:rsid w:val="00D61373"/>
    <w:rPr>
      <w:rFonts w:ascii="Calibri" w:hAnsi="Calibri" w:cs="Calibri"/>
      <w:b/>
      <w:bCs/>
      <w:sz w:val="20"/>
      <w:szCs w:val="20"/>
    </w:rPr>
  </w:style>
  <w:style w:type="paragraph" w:customStyle="1" w:styleId="Subheading">
    <w:name w:val="Subheading"/>
    <w:basedOn w:val="Normal"/>
    <w:qFormat/>
    <w:rsid w:val="00FE708E"/>
    <w:pPr>
      <w:spacing w:line="260" w:lineRule="exact"/>
      <w:ind w:left="567" w:hanging="567"/>
    </w:pPr>
    <w:rPr>
      <w:rFonts w:asciiTheme="minorHAnsi" w:hAnsiTheme="minorHAnsi" w:cstheme="minorBidi"/>
      <w:b/>
      <w:sz w:val="28"/>
      <w:szCs w:val="23"/>
    </w:rPr>
  </w:style>
  <w:style w:type="paragraph" w:customStyle="1" w:styleId="Default">
    <w:name w:val="Default"/>
    <w:rsid w:val="005948C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B2212"/>
    <w:pPr>
      <w:tabs>
        <w:tab w:val="center" w:pos="4513"/>
        <w:tab w:val="right" w:pos="9026"/>
      </w:tabs>
    </w:pPr>
  </w:style>
  <w:style w:type="character" w:customStyle="1" w:styleId="HeaderChar">
    <w:name w:val="Header Char"/>
    <w:basedOn w:val="DefaultParagraphFont"/>
    <w:link w:val="Header"/>
    <w:uiPriority w:val="99"/>
    <w:rsid w:val="00BB2212"/>
    <w:rPr>
      <w:rFonts w:ascii="Calibri" w:hAnsi="Calibri" w:cs="Calibri"/>
    </w:rPr>
  </w:style>
  <w:style w:type="paragraph" w:styleId="Footer">
    <w:name w:val="footer"/>
    <w:basedOn w:val="Normal"/>
    <w:link w:val="FooterChar"/>
    <w:uiPriority w:val="99"/>
    <w:unhideWhenUsed/>
    <w:rsid w:val="00BB2212"/>
    <w:pPr>
      <w:tabs>
        <w:tab w:val="center" w:pos="4513"/>
        <w:tab w:val="right" w:pos="9026"/>
      </w:tabs>
    </w:pPr>
  </w:style>
  <w:style w:type="character" w:customStyle="1" w:styleId="FooterChar">
    <w:name w:val="Footer Char"/>
    <w:basedOn w:val="DefaultParagraphFont"/>
    <w:link w:val="Footer"/>
    <w:uiPriority w:val="99"/>
    <w:rsid w:val="00BB2212"/>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343440623">
      <w:bodyDiv w:val="1"/>
      <w:marLeft w:val="0"/>
      <w:marRight w:val="0"/>
      <w:marTop w:val="0"/>
      <w:marBottom w:val="0"/>
      <w:divBdr>
        <w:top w:val="none" w:sz="0" w:space="0" w:color="auto"/>
        <w:left w:val="none" w:sz="0" w:space="0" w:color="auto"/>
        <w:bottom w:val="none" w:sz="0" w:space="0" w:color="auto"/>
        <w:right w:val="none" w:sz="0" w:space="0" w:color="auto"/>
      </w:divBdr>
    </w:div>
    <w:div w:id="478695438">
      <w:bodyDiv w:val="1"/>
      <w:marLeft w:val="0"/>
      <w:marRight w:val="0"/>
      <w:marTop w:val="0"/>
      <w:marBottom w:val="0"/>
      <w:divBdr>
        <w:top w:val="none" w:sz="0" w:space="0" w:color="auto"/>
        <w:left w:val="none" w:sz="0" w:space="0" w:color="auto"/>
        <w:bottom w:val="none" w:sz="0" w:space="0" w:color="auto"/>
        <w:right w:val="none" w:sz="0" w:space="0" w:color="auto"/>
      </w:divBdr>
    </w:div>
    <w:div w:id="754058299">
      <w:bodyDiv w:val="1"/>
      <w:marLeft w:val="0"/>
      <w:marRight w:val="0"/>
      <w:marTop w:val="0"/>
      <w:marBottom w:val="0"/>
      <w:divBdr>
        <w:top w:val="none" w:sz="0" w:space="0" w:color="auto"/>
        <w:left w:val="none" w:sz="0" w:space="0" w:color="auto"/>
        <w:bottom w:val="none" w:sz="0" w:space="0" w:color="auto"/>
        <w:right w:val="none" w:sz="0" w:space="0" w:color="auto"/>
      </w:divBdr>
    </w:div>
    <w:div w:id="1434978461">
      <w:bodyDiv w:val="1"/>
      <w:marLeft w:val="0"/>
      <w:marRight w:val="0"/>
      <w:marTop w:val="0"/>
      <w:marBottom w:val="0"/>
      <w:divBdr>
        <w:top w:val="none" w:sz="0" w:space="0" w:color="auto"/>
        <w:left w:val="none" w:sz="0" w:space="0" w:color="auto"/>
        <w:bottom w:val="none" w:sz="0" w:space="0" w:color="auto"/>
        <w:right w:val="none" w:sz="0" w:space="0" w:color="auto"/>
      </w:divBdr>
    </w:div>
    <w:div w:id="19921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B6C2-81F6-4FB2-ABCC-01B95E6C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Dyck</dc:creator>
  <cp:lastModifiedBy>Kirsty Mills</cp:lastModifiedBy>
  <cp:revision>12</cp:revision>
  <cp:lastPrinted>2014-05-06T23:05:00Z</cp:lastPrinted>
  <dcterms:created xsi:type="dcterms:W3CDTF">2014-05-06T21:40:00Z</dcterms:created>
  <dcterms:modified xsi:type="dcterms:W3CDTF">2014-05-07T02:22:00Z</dcterms:modified>
</cp:coreProperties>
</file>